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88" w:rsidRPr="00B966D5" w:rsidRDefault="00B17288" w:rsidP="00B17288">
      <w:pPr>
        <w:jc w:val="center"/>
        <w:rPr>
          <w:b/>
          <w:sz w:val="28"/>
          <w:szCs w:val="28"/>
        </w:rPr>
      </w:pPr>
      <w:r w:rsidRPr="00B966D5">
        <w:rPr>
          <w:b/>
          <w:sz w:val="28"/>
          <w:szCs w:val="28"/>
        </w:rPr>
        <w:t xml:space="preserve">Информация о результатах экспертно-аналитического мероприятия «Анализ отчета об исполнении районного бюджета за </w:t>
      </w:r>
      <w:r w:rsidR="00D118BA" w:rsidRPr="00B966D5">
        <w:rPr>
          <w:b/>
          <w:sz w:val="28"/>
          <w:szCs w:val="28"/>
        </w:rPr>
        <w:t xml:space="preserve">9 месяцев </w:t>
      </w:r>
      <w:r w:rsidRPr="00B966D5">
        <w:rPr>
          <w:b/>
          <w:sz w:val="28"/>
          <w:szCs w:val="28"/>
        </w:rPr>
        <w:t xml:space="preserve"> 20</w:t>
      </w:r>
      <w:r w:rsidR="007647CA" w:rsidRPr="00B966D5">
        <w:rPr>
          <w:b/>
          <w:sz w:val="28"/>
          <w:szCs w:val="28"/>
        </w:rPr>
        <w:t>2</w:t>
      </w:r>
      <w:r w:rsidR="00695DE9">
        <w:rPr>
          <w:b/>
          <w:sz w:val="28"/>
          <w:szCs w:val="28"/>
        </w:rPr>
        <w:t>3</w:t>
      </w:r>
      <w:r w:rsidRPr="00B966D5">
        <w:rPr>
          <w:b/>
          <w:sz w:val="28"/>
          <w:szCs w:val="28"/>
        </w:rPr>
        <w:t xml:space="preserve"> года»</w:t>
      </w:r>
    </w:p>
    <w:p w:rsidR="003A6FC7" w:rsidRDefault="003A6FC7" w:rsidP="003A6FC7">
      <w:pPr>
        <w:jc w:val="center"/>
        <w:rPr>
          <w:sz w:val="28"/>
          <w:szCs w:val="28"/>
        </w:rPr>
      </w:pPr>
    </w:p>
    <w:p w:rsidR="00695DE9" w:rsidRDefault="00695DE9" w:rsidP="003A6FC7">
      <w:pPr>
        <w:jc w:val="center"/>
        <w:rPr>
          <w:sz w:val="28"/>
          <w:szCs w:val="28"/>
        </w:rPr>
      </w:pPr>
    </w:p>
    <w:p w:rsidR="00695DE9" w:rsidRPr="0020459C" w:rsidRDefault="002F58EE" w:rsidP="00695DE9">
      <w:pPr>
        <w:pStyle w:val="a3"/>
        <w:jc w:val="both"/>
      </w:pPr>
      <w:r>
        <w:t xml:space="preserve">     </w:t>
      </w:r>
      <w:r w:rsidR="00695DE9" w:rsidRPr="0020459C">
        <w:t>Основание для проведения экспертизы:    Бюджетный кодекс Российской Федерации,Федеральный Закон от 07.02.2011 №6-ФЗ «Об общих принципах организации и деятельности контрольно-счетных органов Российской Федерации и муниципальных образований», Положение о контрольно-счетной палате Родинского района Алтайского края, утвержденное решением Родинского районного Совета депутатов от 24.11.2021 №84 «О Положении о Контрольно-счетной  палате Родинского района Алтайского края, решение Родинского районного Совета депутатов от 26.12.2017 № 47 «О Положении о бюджетном процессе, финансовом контроле в Родинском районе», Распоряжение Контрольно-счетной  палате Родинского района от 24.10.2023 №14.</w:t>
      </w:r>
    </w:p>
    <w:p w:rsidR="00695DE9" w:rsidRPr="0020459C" w:rsidRDefault="002F58EE" w:rsidP="00695DE9">
      <w:pPr>
        <w:pStyle w:val="a3"/>
        <w:jc w:val="both"/>
      </w:pPr>
      <w:r>
        <w:t xml:space="preserve">     </w:t>
      </w:r>
      <w:r w:rsidR="00695DE9" w:rsidRPr="0020459C">
        <w:t>Цель  экспертизы: Установление законности, степени полноты и достоверности предоставленной бюджетной отчетности об исполнении бюджета муниципального образования Родинский район Родинского района Алтайского края (далее – бюджет муниципального образования), а также предоставленных документов и материалов; подготовка отчета о ходе исполнения бюджета муниципального образования  за  9 месяцев 2023 года.</w:t>
      </w:r>
    </w:p>
    <w:p w:rsidR="00695DE9" w:rsidRPr="0020459C" w:rsidRDefault="002F58EE" w:rsidP="00695DE9">
      <w:pPr>
        <w:pStyle w:val="a3"/>
        <w:jc w:val="both"/>
      </w:pPr>
      <w:r>
        <w:t xml:space="preserve">     </w:t>
      </w:r>
      <w:r w:rsidR="00695DE9" w:rsidRPr="0020459C">
        <w:t>Предмет экспертизы:    Отчет об исполнении бюджета муниципального образования за 9 месяцев2023 года, утвержденный постановлением Администрации муниципального образования Родинский район Родинского района Алтайского края от 23 октября 2023 года № 343, представлен в контрольно - счетную палату 24 октября текущего года.</w:t>
      </w:r>
    </w:p>
    <w:p w:rsidR="00695DE9" w:rsidRPr="0020459C" w:rsidRDefault="00695DE9" w:rsidP="00695DE9">
      <w:pPr>
        <w:pStyle w:val="a3"/>
        <w:ind w:firstLine="284"/>
        <w:jc w:val="both"/>
      </w:pPr>
      <w:r w:rsidRPr="0020459C">
        <w:t>Основным методом проведения экспертно-аналитического мероприятия является анализ соответствия отчета об исполнении бюджета муниципального образования  за 9 месяцев 2023 года требованиям Бюджетного кодекса Российской Федерации, решению Родинского районного Совета депутатов Родинского района Алтайского края</w:t>
      </w:r>
      <w:r w:rsidRPr="0020459C">
        <w:rPr>
          <w:sz w:val="24"/>
          <w:szCs w:val="24"/>
        </w:rPr>
        <w:t xml:space="preserve"> </w:t>
      </w:r>
      <w:r w:rsidRPr="0020459C">
        <w:t>от 26.12.2022 № 37 «О Родинском районном бюджете Алтайского края на 2023 год».</w:t>
      </w:r>
    </w:p>
    <w:p w:rsidR="00695DE9" w:rsidRPr="0020459C" w:rsidRDefault="00695DE9" w:rsidP="00695DE9">
      <w:pPr>
        <w:pStyle w:val="a3"/>
        <w:jc w:val="both"/>
      </w:pPr>
      <w:r w:rsidRPr="0020459C">
        <w:t xml:space="preserve">     Бюджет муниципального образования за 9 месяцев  2023 года с учетом внесенных изменений и уточнений утвержден по доходам в сумме 680359,1 тыс. рублей, в том числе по налоговым и неналоговым доходам в сумме 108119,5 тыс. рублей, по безвозмездным поступлениям в сумме 572239,6 тыс. рублей.</w:t>
      </w:r>
    </w:p>
    <w:p w:rsidR="00695DE9" w:rsidRPr="0020459C" w:rsidRDefault="00695DE9" w:rsidP="00695DE9">
      <w:pPr>
        <w:pStyle w:val="a3"/>
        <w:jc w:val="both"/>
      </w:pPr>
      <w:r w:rsidRPr="0020459C">
        <w:t xml:space="preserve">     Согласно данным отчета об исполнении бюджета муниципального образования за 9 месяцев  2023 года в доход бюджета поступило 680359,1 тыс. рублей, что составило57,9% от уточненных годовых показателей. Относительно аналогичного периода 2022 года объем поступлений увеличился по всем видам поступлений в бюджет на 132971,9 тыс. рублей,  поступления  налоговых и неналоговых доходов уменьшились на 4691,7 тыс.рублей . Поступление по  налогу на доходы физических лиц  по </w:t>
      </w:r>
      <w:r w:rsidRPr="0020459C">
        <w:lastRenderedPageBreak/>
        <w:t xml:space="preserve">сравнению с 2022 годом увеличилось на7934,3  тыс.рублей , что составило 118,1% к уровню 2022 года, поступление  налогов на совокупный доход, уменьшилось  на сумму 10856,5тыс.рублей, поступление  по налоговым и неналоговым доходам к аналогичному периоду 2022 года составляет 95,8 %. </w:t>
      </w:r>
    </w:p>
    <w:p w:rsidR="00695DE9" w:rsidRPr="0020459C" w:rsidRDefault="00695DE9" w:rsidP="00695DE9">
      <w:pPr>
        <w:pStyle w:val="a3"/>
        <w:jc w:val="both"/>
      </w:pPr>
      <w:r w:rsidRPr="0020459C">
        <w:t xml:space="preserve">По доходам от арендной платы за земли  поступления  увеличились  на 731,0      тыс.рублей, исполнение к уровню 2022 года составляет 103,1 %. </w:t>
      </w:r>
    </w:p>
    <w:p w:rsidR="00695DE9" w:rsidRPr="0020459C" w:rsidRDefault="00695DE9" w:rsidP="00695DE9">
      <w:pPr>
        <w:pStyle w:val="a3"/>
        <w:jc w:val="both"/>
      </w:pPr>
      <w:r w:rsidRPr="0020459C">
        <w:t xml:space="preserve">         Налоговые доходы бюджета муниципального образования за 9 месяцев 2023 года исполнены в сумме 84991,8  тыс. рублей при плановом назначении 131800,0 тыс.руб. или 76,7 % от годового объема налоговых поступлений. Основную долю в формировании налоговых  доходов бюджета за 9 месяцев  2023 года занимает: налог на доходы физических лиц(51629,8 тысяч руб.) и составляет 60,7% от общего объема налоговых доходов.</w:t>
      </w:r>
    </w:p>
    <w:p w:rsidR="00695DE9" w:rsidRPr="0020459C" w:rsidRDefault="00695DE9" w:rsidP="00695DE9">
      <w:pPr>
        <w:ind w:firstLine="426"/>
        <w:jc w:val="both"/>
        <w:rPr>
          <w:sz w:val="28"/>
          <w:szCs w:val="28"/>
        </w:rPr>
      </w:pPr>
      <w:r w:rsidRPr="0020459C">
        <w:rPr>
          <w:sz w:val="28"/>
          <w:szCs w:val="28"/>
        </w:rPr>
        <w:t xml:space="preserve">Неналоговые доходы за 9 месяцев 2023 года исполнены в сумме –  35109,0 тыс. руб., при плановом назначении – 33900,0 тыс. руб. что соответствует 95,5%. Доходы, полученные в виде арендной платы за земли при годовом назначении в сумме – 25068,0 тыс. руб. и фактическом исполнении на сумму – 24358,6 тыс. руб. исполнены на 97,2 %.  Поступление от арендной платы за земельные участки в неналоговых доходах являются основной составляющей – 71,8 %. </w:t>
      </w:r>
    </w:p>
    <w:p w:rsidR="00695DE9" w:rsidRPr="0020459C" w:rsidRDefault="00695DE9" w:rsidP="00695DE9">
      <w:pPr>
        <w:jc w:val="both"/>
        <w:rPr>
          <w:sz w:val="28"/>
          <w:szCs w:val="28"/>
        </w:rPr>
      </w:pPr>
      <w:r w:rsidRPr="0020459C">
        <w:rPr>
          <w:sz w:val="28"/>
          <w:szCs w:val="28"/>
        </w:rPr>
        <w:t xml:space="preserve">            К уровню 2022 года по налоговым и неналоговым доходам исполнение составляет – 95,8 %, в том числе по налоговым доходам 87,6 %, по неналоговым  -  102,6 %. </w:t>
      </w:r>
    </w:p>
    <w:p w:rsidR="00695DE9" w:rsidRPr="0020459C" w:rsidRDefault="00695DE9" w:rsidP="00695DE9">
      <w:pPr>
        <w:ind w:firstLine="425"/>
        <w:jc w:val="both"/>
        <w:rPr>
          <w:sz w:val="28"/>
          <w:szCs w:val="28"/>
        </w:rPr>
      </w:pPr>
      <w:r w:rsidRPr="0020459C">
        <w:rPr>
          <w:sz w:val="28"/>
          <w:szCs w:val="28"/>
        </w:rPr>
        <w:t>Безвозмездные поступления за 9 месяцев 2023 года составили 572239,6 тыс. руб.</w:t>
      </w:r>
    </w:p>
    <w:p w:rsidR="00695DE9" w:rsidRPr="0020459C" w:rsidRDefault="00695DE9" w:rsidP="00695DE9">
      <w:pPr>
        <w:ind w:firstLine="425"/>
        <w:jc w:val="both"/>
        <w:rPr>
          <w:sz w:val="28"/>
          <w:szCs w:val="28"/>
        </w:rPr>
      </w:pPr>
      <w:r w:rsidRPr="0020459C">
        <w:rPr>
          <w:sz w:val="28"/>
          <w:szCs w:val="28"/>
        </w:rPr>
        <w:t xml:space="preserve"> Безвозмездные поступления в 2023 году к аналогичному периоду 2022 года увеличились на 137363,6тыс. рублей, что составляет  131,6%.</w:t>
      </w:r>
      <w:r w:rsidRPr="0020459C">
        <w:t xml:space="preserve">  </w:t>
      </w:r>
    </w:p>
    <w:p w:rsidR="00695DE9" w:rsidRPr="0020459C" w:rsidRDefault="00695DE9" w:rsidP="00695DE9">
      <w:pPr>
        <w:ind w:firstLine="425"/>
        <w:jc w:val="both"/>
        <w:rPr>
          <w:sz w:val="28"/>
          <w:szCs w:val="28"/>
        </w:rPr>
      </w:pPr>
      <w:r w:rsidRPr="0020459C">
        <w:rPr>
          <w:sz w:val="28"/>
          <w:szCs w:val="28"/>
        </w:rPr>
        <w:t xml:space="preserve">Исполнение по безвозмездным поступлениям составляет 55,4 % от утвержденных плановых назначений 1033584,9 тыс. руб., в том числе: </w:t>
      </w:r>
    </w:p>
    <w:p w:rsidR="00695DE9" w:rsidRPr="0020459C" w:rsidRDefault="00695DE9" w:rsidP="00695DE9">
      <w:pPr>
        <w:ind w:firstLine="708"/>
        <w:jc w:val="both"/>
        <w:rPr>
          <w:sz w:val="28"/>
          <w:szCs w:val="28"/>
        </w:rPr>
      </w:pPr>
      <w:r w:rsidRPr="0020459C">
        <w:rPr>
          <w:sz w:val="28"/>
          <w:szCs w:val="28"/>
        </w:rPr>
        <w:t>- дотации – 41214,00 тыс.руб., что составляет 7,2 % от общего объема безвозмездных поступлений;</w:t>
      </w:r>
    </w:p>
    <w:p w:rsidR="00695DE9" w:rsidRPr="0020459C" w:rsidRDefault="00695DE9" w:rsidP="00695DE9">
      <w:pPr>
        <w:ind w:firstLine="708"/>
        <w:jc w:val="both"/>
        <w:rPr>
          <w:sz w:val="28"/>
          <w:szCs w:val="28"/>
        </w:rPr>
      </w:pPr>
      <w:r w:rsidRPr="0020459C">
        <w:rPr>
          <w:sz w:val="28"/>
          <w:szCs w:val="28"/>
        </w:rPr>
        <w:t>- субсидии – 342139,1 тыс. руб., что составляет 59,8 % от общего объема безвозмездных поступлений;</w:t>
      </w:r>
    </w:p>
    <w:p w:rsidR="00695DE9" w:rsidRPr="0020459C" w:rsidRDefault="00695DE9" w:rsidP="00695DE9">
      <w:pPr>
        <w:ind w:firstLine="708"/>
        <w:jc w:val="both"/>
        <w:rPr>
          <w:sz w:val="28"/>
          <w:szCs w:val="28"/>
        </w:rPr>
      </w:pPr>
      <w:r w:rsidRPr="0020459C">
        <w:rPr>
          <w:sz w:val="28"/>
          <w:szCs w:val="28"/>
        </w:rPr>
        <w:t>- субвенции – 177911,4 тыс. руб., что составляет 31,1 % от общего объема безвозмездных поступлений;</w:t>
      </w:r>
    </w:p>
    <w:p w:rsidR="00695DE9" w:rsidRPr="0020459C" w:rsidRDefault="00695DE9" w:rsidP="00695DE9">
      <w:pPr>
        <w:ind w:firstLine="708"/>
        <w:jc w:val="both"/>
        <w:rPr>
          <w:sz w:val="28"/>
          <w:szCs w:val="28"/>
        </w:rPr>
      </w:pPr>
      <w:r w:rsidRPr="0020459C">
        <w:rPr>
          <w:sz w:val="28"/>
          <w:szCs w:val="28"/>
        </w:rPr>
        <w:t>- иные межбюджетные трансферты – 8731,1 тыс.руб., что составляет 1,5 % от общего объема безвозмездных поступлений;</w:t>
      </w:r>
    </w:p>
    <w:p w:rsidR="00695DE9" w:rsidRPr="0020459C" w:rsidRDefault="00695DE9" w:rsidP="00695DE9">
      <w:pPr>
        <w:ind w:firstLine="708"/>
        <w:jc w:val="both"/>
        <w:rPr>
          <w:sz w:val="28"/>
          <w:szCs w:val="28"/>
        </w:rPr>
      </w:pPr>
      <w:r w:rsidRPr="0020459C">
        <w:rPr>
          <w:sz w:val="28"/>
          <w:szCs w:val="28"/>
        </w:rPr>
        <w:t>- безвозмездные поступления от негосударственных организаций, прочие безвозмездные поступления – 2244,6 тыс.руб., что составляет 0,4 % от общего объема безвозмездных поступлений;</w:t>
      </w:r>
    </w:p>
    <w:p w:rsidR="00695DE9" w:rsidRPr="0020459C" w:rsidRDefault="00695DE9" w:rsidP="00695DE9">
      <w:pPr>
        <w:ind w:firstLine="708"/>
        <w:jc w:val="both"/>
        <w:rPr>
          <w:sz w:val="28"/>
          <w:szCs w:val="28"/>
        </w:rPr>
      </w:pPr>
      <w:r w:rsidRPr="0020459C">
        <w:rPr>
          <w:sz w:val="28"/>
          <w:szCs w:val="28"/>
        </w:rPr>
        <w:t>- возврат остатков субсидий, субвенций, имеющих целевое назначение прошлых лет – (-0,7) тыс.руб. (пособия, компенсации и иные социальные выплаты гражданам, кроме публичных нормативных обязательств).</w:t>
      </w:r>
    </w:p>
    <w:p w:rsidR="00C00B28" w:rsidRPr="0020459C" w:rsidRDefault="00C00B28" w:rsidP="00C00B28">
      <w:pPr>
        <w:pStyle w:val="a3"/>
        <w:ind w:right="-284"/>
        <w:jc w:val="both"/>
      </w:pPr>
      <w:r w:rsidRPr="0020459C">
        <w:t>Анализ исполнения бюджетных назначений в разрезе разделов функциональной классификации расходов показал, что наименьший процент исполнения сложился по разделу Средства массовой информации – 42,0%.</w:t>
      </w:r>
    </w:p>
    <w:p w:rsidR="00C00B28" w:rsidRPr="0020459C" w:rsidRDefault="00C00B28" w:rsidP="00C00B28">
      <w:pPr>
        <w:pStyle w:val="a3"/>
        <w:ind w:right="-284"/>
        <w:jc w:val="both"/>
      </w:pPr>
      <w:r w:rsidRPr="0020459C">
        <w:lastRenderedPageBreak/>
        <w:t xml:space="preserve">       По разделу Общегосударственные вопросы – 77,2%, Национальная оборона – 75,0%, Национальная безопасность и правоохранительная деятельность- 86,8%, Национальная экономика- 78,6%, Жилищно- коммунальное хозяйство-57,7% Образование – 49,2%, Культура и кинематография- 74,6%, Социальная политика -59,9, Физическая культура и спорт- 66,2%. Обслуживание государственного и муниципального долга -45,0%, Межбюджетные трансферты общего характера исполнены на  96,2%</w:t>
      </w:r>
    </w:p>
    <w:p w:rsidR="00CA20C9" w:rsidRPr="0020459C" w:rsidRDefault="00CA20C9" w:rsidP="00CA20C9">
      <w:pPr>
        <w:pStyle w:val="31"/>
        <w:spacing w:after="0" w:line="240" w:lineRule="auto"/>
        <w:ind w:left="0" w:firstLine="708"/>
        <w:jc w:val="both"/>
        <w:rPr>
          <w:rFonts w:ascii="Times New Roman" w:hAnsi="Times New Roman" w:cs="Times New Roman"/>
          <w:sz w:val="28"/>
          <w:szCs w:val="28"/>
        </w:rPr>
      </w:pPr>
      <w:r w:rsidRPr="002F58EE">
        <w:rPr>
          <w:rStyle w:val="30"/>
          <w:b w:val="0"/>
          <w:color w:val="auto"/>
          <w:sz w:val="28"/>
          <w:szCs w:val="28"/>
        </w:rPr>
        <w:t>Наибольший удельный вес в общей структуре расходов занимают расходы по разделу «Образование» - 45,3 %, «Жилищно-коммунальное хозяйство» - 22,3 %,  «Национальная экономика» - 8,5 %, «Физическая культура и спорт» - 7,7 %, «Общегосударственные вопросы» - 6,4 %, «Межбюджетные трансферты общего характера бюджетам муниципальных образований» - 5,0 %,</w:t>
      </w:r>
      <w:r w:rsidRPr="002F58EE">
        <w:rPr>
          <w:rStyle w:val="20"/>
          <w:b w:val="0"/>
          <w:color w:val="auto"/>
        </w:rPr>
        <w:t xml:space="preserve"> «Культура, кинематография» - 2,4%, «Социальная политика» - 1,9%.</w:t>
      </w:r>
      <w:r w:rsidRPr="002F58EE">
        <w:rPr>
          <w:rStyle w:val="20"/>
          <w:b w:val="0"/>
          <w:color w:val="auto"/>
        </w:rPr>
        <w:tab/>
        <w:t xml:space="preserve">Расходы по разделу «Общегосударственные вопросы» исполнены  в сумме 44147,5 тыс. руб. Удельный вес в общей сумме расходов – 6,4 %, </w:t>
      </w:r>
      <w:r w:rsidR="00C00B28" w:rsidRPr="002F58EE">
        <w:rPr>
          <w:rStyle w:val="20"/>
          <w:b w:val="0"/>
          <w:color w:val="auto"/>
        </w:rPr>
        <w:t xml:space="preserve"> </w:t>
      </w:r>
      <w:r w:rsidR="00C00B28" w:rsidRPr="0020459C">
        <w:rPr>
          <w:sz w:val="28"/>
          <w:szCs w:val="28"/>
        </w:rPr>
        <w:t xml:space="preserve">   </w:t>
      </w:r>
      <w:r w:rsidRPr="0020459C">
        <w:rPr>
          <w:rFonts w:ascii="Times New Roman" w:hAnsi="Times New Roman" w:cs="Times New Roman"/>
          <w:sz w:val="28"/>
          <w:szCs w:val="28"/>
        </w:rPr>
        <w:t>Средства федерального бюджета по разделу 0200 «Национальная оборона» направлены бюджетам поселений на осуществление первичного воинского учета в сумме 1361,0 тыс. руб. Удельный вес в общей сумме расходов – 0,2 %.</w:t>
      </w:r>
    </w:p>
    <w:p w:rsidR="00CA20C9" w:rsidRPr="0020459C" w:rsidRDefault="00CA20C9" w:rsidP="00CA20C9">
      <w:pPr>
        <w:pStyle w:val="31"/>
        <w:spacing w:after="0" w:line="240" w:lineRule="auto"/>
        <w:ind w:left="0" w:firstLine="708"/>
        <w:jc w:val="both"/>
        <w:rPr>
          <w:rFonts w:ascii="Times New Roman" w:hAnsi="Times New Roman" w:cs="Times New Roman"/>
          <w:sz w:val="28"/>
          <w:szCs w:val="28"/>
        </w:rPr>
      </w:pPr>
      <w:r w:rsidRPr="0020459C">
        <w:rPr>
          <w:rFonts w:ascii="Times New Roman" w:hAnsi="Times New Roman" w:cs="Times New Roman"/>
          <w:sz w:val="28"/>
          <w:szCs w:val="28"/>
        </w:rPr>
        <w:t>По разделу «Национальная безопасность и правоохранительная деятельность» на содержание единой диспетчерской службы из средств районного бюджета направлено 1468,0 тыс.руб. Удельный вес в общей сумме расходов – 0,2 %.</w:t>
      </w:r>
    </w:p>
    <w:p w:rsidR="00156215" w:rsidRPr="0020459C" w:rsidRDefault="00156215" w:rsidP="00156215">
      <w:pPr>
        <w:pStyle w:val="31"/>
        <w:spacing w:after="0" w:line="240" w:lineRule="auto"/>
        <w:ind w:left="0" w:firstLine="708"/>
        <w:jc w:val="both"/>
        <w:rPr>
          <w:rFonts w:ascii="Times New Roman" w:hAnsi="Times New Roman" w:cs="Times New Roman"/>
          <w:sz w:val="28"/>
          <w:szCs w:val="28"/>
        </w:rPr>
      </w:pPr>
      <w:r w:rsidRPr="0020459C">
        <w:rPr>
          <w:rFonts w:ascii="Times New Roman" w:hAnsi="Times New Roman" w:cs="Times New Roman"/>
          <w:sz w:val="28"/>
          <w:szCs w:val="28"/>
        </w:rPr>
        <w:t>Расходы по разделу «Национальная экономика» исполнены в сумме 58803,8 тыс.руб., что составляет 8,5 % от общей суммы расходов бюджета.</w:t>
      </w:r>
    </w:p>
    <w:p w:rsidR="00156215" w:rsidRPr="0020459C" w:rsidRDefault="00156215" w:rsidP="00CA20C9">
      <w:pPr>
        <w:ind w:firstLine="426"/>
        <w:jc w:val="both"/>
        <w:rPr>
          <w:sz w:val="28"/>
          <w:szCs w:val="28"/>
        </w:rPr>
      </w:pPr>
      <w:r w:rsidRPr="0020459C">
        <w:rPr>
          <w:sz w:val="28"/>
          <w:szCs w:val="28"/>
        </w:rPr>
        <w:t>Расходы в сфере «Жилищно-коммунальное хозяйство» составили – 154408,9</w:t>
      </w:r>
      <w:r w:rsidRPr="0020459C">
        <w:t xml:space="preserve"> </w:t>
      </w:r>
      <w:r w:rsidRPr="0020459C">
        <w:rPr>
          <w:sz w:val="28"/>
          <w:szCs w:val="28"/>
        </w:rPr>
        <w:t>тыс. руб. Удельный вес в общей сумме расходов – 22,3 %,</w:t>
      </w:r>
    </w:p>
    <w:p w:rsidR="00695DE9" w:rsidRPr="0020459C" w:rsidRDefault="00156215" w:rsidP="00CA20C9">
      <w:pPr>
        <w:ind w:firstLine="426"/>
        <w:jc w:val="both"/>
        <w:rPr>
          <w:sz w:val="28"/>
          <w:szCs w:val="28"/>
        </w:rPr>
      </w:pPr>
      <w:r w:rsidRPr="0020459C">
        <w:rPr>
          <w:sz w:val="28"/>
          <w:szCs w:val="28"/>
        </w:rPr>
        <w:t xml:space="preserve"> </w:t>
      </w:r>
      <w:r w:rsidR="00C00B28" w:rsidRPr="0020459C">
        <w:rPr>
          <w:sz w:val="28"/>
          <w:szCs w:val="28"/>
        </w:rPr>
        <w:t xml:space="preserve">  </w:t>
      </w:r>
      <w:r w:rsidRPr="0020459C">
        <w:rPr>
          <w:sz w:val="28"/>
          <w:szCs w:val="28"/>
        </w:rPr>
        <w:t>Расходы по разделу «Образование» исполнены в сумме – 313553,1</w:t>
      </w:r>
      <w:r w:rsidRPr="0020459C">
        <w:t xml:space="preserve"> </w:t>
      </w:r>
      <w:r w:rsidRPr="0020459C">
        <w:rPr>
          <w:sz w:val="28"/>
          <w:szCs w:val="28"/>
        </w:rPr>
        <w:t>тыс.руб., удельный вес в общей сумме расходов составляет 45,3 %.</w:t>
      </w:r>
    </w:p>
    <w:p w:rsidR="00E76F3B" w:rsidRPr="0020459C" w:rsidRDefault="00E76F3B" w:rsidP="00E76F3B">
      <w:pPr>
        <w:pStyle w:val="31"/>
        <w:spacing w:after="0" w:line="240" w:lineRule="auto"/>
        <w:ind w:left="0"/>
        <w:jc w:val="both"/>
        <w:rPr>
          <w:rFonts w:ascii="Times New Roman" w:hAnsi="Times New Roman" w:cs="Times New Roman"/>
          <w:sz w:val="28"/>
          <w:szCs w:val="28"/>
        </w:rPr>
      </w:pPr>
      <w:r w:rsidRPr="0020459C">
        <w:rPr>
          <w:rFonts w:ascii="Times New Roman" w:hAnsi="Times New Roman" w:cs="Times New Roman"/>
          <w:sz w:val="28"/>
          <w:szCs w:val="28"/>
        </w:rPr>
        <w:t>Исполнение по разделу «Культура» за 9 месяцев 2023 года составило 16337,2</w:t>
      </w:r>
      <w:r w:rsidRPr="0020459C">
        <w:t xml:space="preserve"> </w:t>
      </w:r>
      <w:r w:rsidRPr="0020459C">
        <w:rPr>
          <w:rFonts w:ascii="Times New Roman" w:hAnsi="Times New Roman" w:cs="Times New Roman"/>
          <w:sz w:val="28"/>
          <w:szCs w:val="28"/>
        </w:rPr>
        <w:t>тыс.руб., 2,4 % от общей суммы расходов:</w:t>
      </w:r>
    </w:p>
    <w:p w:rsidR="00695DE9" w:rsidRPr="0020459C" w:rsidRDefault="002F58EE" w:rsidP="003A6FC7">
      <w:pPr>
        <w:jc w:val="center"/>
        <w:rPr>
          <w:sz w:val="28"/>
          <w:szCs w:val="28"/>
        </w:rPr>
      </w:pPr>
      <w:r>
        <w:rPr>
          <w:sz w:val="28"/>
          <w:szCs w:val="28"/>
        </w:rPr>
        <w:t xml:space="preserve">      </w:t>
      </w:r>
      <w:r w:rsidR="00E76F3B" w:rsidRPr="0020459C">
        <w:rPr>
          <w:sz w:val="28"/>
          <w:szCs w:val="28"/>
        </w:rPr>
        <w:t>По разделу «Социальная политика» произведены расходы в сумме 13546,2</w:t>
      </w:r>
      <w:r w:rsidR="00E76F3B" w:rsidRPr="0020459C">
        <w:t xml:space="preserve"> </w:t>
      </w:r>
      <w:r w:rsidR="00E76F3B" w:rsidRPr="0020459C">
        <w:rPr>
          <w:sz w:val="28"/>
          <w:szCs w:val="28"/>
        </w:rPr>
        <w:t>тыс. руб., что составляет  1,9 % от общего объема расходов.</w:t>
      </w:r>
    </w:p>
    <w:p w:rsidR="00C00B28" w:rsidRPr="0020459C" w:rsidRDefault="00E76F3B" w:rsidP="003A6FC7">
      <w:pPr>
        <w:jc w:val="center"/>
        <w:rPr>
          <w:sz w:val="28"/>
          <w:szCs w:val="28"/>
        </w:rPr>
      </w:pPr>
      <w:r w:rsidRPr="0020459C">
        <w:rPr>
          <w:sz w:val="28"/>
          <w:szCs w:val="28"/>
        </w:rPr>
        <w:t>По разделу  «Физическая культура и спорт» исполнение составило 53411,2</w:t>
      </w:r>
      <w:r w:rsidRPr="0020459C">
        <w:t xml:space="preserve"> </w:t>
      </w:r>
      <w:r w:rsidRPr="0020459C">
        <w:rPr>
          <w:sz w:val="28"/>
          <w:szCs w:val="28"/>
        </w:rPr>
        <w:t>тыс. руб., что составляет  7,7 % от общего объема расходов,</w:t>
      </w:r>
    </w:p>
    <w:p w:rsidR="00E76F3B" w:rsidRPr="0020459C" w:rsidRDefault="00E76F3B" w:rsidP="00E76F3B">
      <w:pPr>
        <w:ind w:firstLine="856"/>
        <w:jc w:val="both"/>
        <w:rPr>
          <w:sz w:val="28"/>
          <w:szCs w:val="28"/>
        </w:rPr>
      </w:pPr>
      <w:r w:rsidRPr="0020459C">
        <w:rPr>
          <w:sz w:val="28"/>
          <w:szCs w:val="28"/>
        </w:rPr>
        <w:t xml:space="preserve">По разделу  </w:t>
      </w:r>
      <w:r w:rsidR="00E3227B" w:rsidRPr="0020459C">
        <w:rPr>
          <w:sz w:val="28"/>
          <w:szCs w:val="28"/>
        </w:rPr>
        <w:t>« Средства массовой информации»</w:t>
      </w:r>
      <w:r w:rsidRPr="0020459C">
        <w:rPr>
          <w:sz w:val="28"/>
          <w:szCs w:val="28"/>
        </w:rPr>
        <w:t xml:space="preserve">  исполнение составило 462,2 тыс.руб. Средства направлены на оплату расходов по опубликованию нормативно-правовых актов в средствах массовой информации в рамках муниципальной программы «Развитие информационной среды Родинского района».</w:t>
      </w:r>
    </w:p>
    <w:p w:rsidR="00E3227B" w:rsidRPr="0020459C" w:rsidRDefault="00E3227B" w:rsidP="00E3227B">
      <w:pPr>
        <w:ind w:firstLine="567"/>
        <w:jc w:val="both"/>
        <w:rPr>
          <w:bCs/>
          <w:sz w:val="28"/>
          <w:szCs w:val="28"/>
        </w:rPr>
      </w:pPr>
      <w:r w:rsidRPr="0020459C">
        <w:rPr>
          <w:bCs/>
          <w:sz w:val="28"/>
          <w:szCs w:val="28"/>
        </w:rPr>
        <w:t>По разделу «Обслуживание внутреннего долга»</w:t>
      </w:r>
      <w:r w:rsidRPr="0020459C">
        <w:rPr>
          <w:b/>
          <w:bCs/>
          <w:sz w:val="28"/>
          <w:szCs w:val="28"/>
        </w:rPr>
        <w:t xml:space="preserve"> </w:t>
      </w:r>
      <w:r w:rsidRPr="0020459C">
        <w:rPr>
          <w:bCs/>
          <w:sz w:val="28"/>
          <w:szCs w:val="28"/>
        </w:rPr>
        <w:t>направлены средства на погашение процентов по бюджетному кредиту в размере 0,9 тыс. руб.</w:t>
      </w:r>
    </w:p>
    <w:p w:rsidR="00E3227B" w:rsidRPr="0020459C" w:rsidRDefault="00E3227B" w:rsidP="00E3227B">
      <w:pPr>
        <w:pStyle w:val="31"/>
        <w:spacing w:after="0" w:line="240" w:lineRule="auto"/>
        <w:ind w:left="0" w:firstLine="567"/>
        <w:jc w:val="both"/>
        <w:rPr>
          <w:rFonts w:ascii="Times New Roman" w:hAnsi="Times New Roman" w:cs="Times New Roman"/>
          <w:sz w:val="28"/>
          <w:szCs w:val="28"/>
        </w:rPr>
      </w:pPr>
      <w:r w:rsidRPr="0020459C">
        <w:rPr>
          <w:rFonts w:ascii="Times New Roman" w:hAnsi="Times New Roman" w:cs="Times New Roman"/>
          <w:bCs/>
          <w:sz w:val="28"/>
          <w:szCs w:val="28"/>
        </w:rPr>
        <w:t>По разделу 1400 «Межбюджетные трансферты общего характера» произведены расходы</w:t>
      </w:r>
      <w:r w:rsidRPr="0020459C">
        <w:rPr>
          <w:bCs/>
        </w:rPr>
        <w:t xml:space="preserve"> </w:t>
      </w:r>
      <w:r w:rsidRPr="0020459C">
        <w:rPr>
          <w:rFonts w:ascii="Times New Roman" w:hAnsi="Times New Roman" w:cs="Times New Roman"/>
          <w:sz w:val="28"/>
          <w:szCs w:val="28"/>
        </w:rPr>
        <w:t>в сумме 34843,2</w:t>
      </w:r>
      <w:r w:rsidRPr="0020459C">
        <w:t xml:space="preserve"> </w:t>
      </w:r>
      <w:r w:rsidRPr="0020459C">
        <w:rPr>
          <w:rFonts w:ascii="Times New Roman" w:hAnsi="Times New Roman" w:cs="Times New Roman"/>
          <w:sz w:val="28"/>
          <w:szCs w:val="28"/>
        </w:rPr>
        <w:t>тыс. руб., что составляет 5 % от общего объема расходов, в том числе:</w:t>
      </w:r>
    </w:p>
    <w:p w:rsidR="00E3227B" w:rsidRPr="0020459C" w:rsidRDefault="00E3227B" w:rsidP="00E3227B">
      <w:pPr>
        <w:pStyle w:val="31"/>
        <w:spacing w:after="0" w:line="240" w:lineRule="auto"/>
        <w:ind w:left="0" w:firstLine="708"/>
        <w:jc w:val="both"/>
        <w:rPr>
          <w:rFonts w:ascii="Times New Roman" w:hAnsi="Times New Roman" w:cs="Times New Roman"/>
          <w:sz w:val="28"/>
          <w:szCs w:val="28"/>
        </w:rPr>
      </w:pPr>
      <w:r w:rsidRPr="0020459C">
        <w:rPr>
          <w:rFonts w:ascii="Times New Roman" w:hAnsi="Times New Roman" w:cs="Times New Roman"/>
          <w:sz w:val="28"/>
          <w:szCs w:val="28"/>
        </w:rPr>
        <w:lastRenderedPageBreak/>
        <w:t>- дотация на выравнивание поселениям –  3655,1 тыс. руб., в т.ч. за счет средств краевого бюджета – 1406,4 тыс.руб.;</w:t>
      </w:r>
    </w:p>
    <w:p w:rsidR="00EE0C59" w:rsidRPr="0020459C" w:rsidRDefault="00E3227B" w:rsidP="00EE0C59">
      <w:pPr>
        <w:pStyle w:val="a3"/>
        <w:ind w:right="-284"/>
        <w:jc w:val="both"/>
        <w:rPr>
          <w:b/>
        </w:rPr>
      </w:pPr>
      <w:r w:rsidRPr="0020459C">
        <w:t>- иные межбюджетные трансферты бюджетам сельских поселений на поддержание мер по обеспечению платежеспособности местных бюджетов– 31188,2 тыс.</w:t>
      </w:r>
      <w:r w:rsidR="00EE0C59" w:rsidRPr="0020459C">
        <w:t xml:space="preserve"> </w:t>
      </w:r>
      <w:r w:rsidRPr="0020459C">
        <w:t xml:space="preserve"> руб.</w:t>
      </w:r>
      <w:r w:rsidR="00EE0C59" w:rsidRPr="0020459C">
        <w:t xml:space="preserve"> </w:t>
      </w:r>
    </w:p>
    <w:p w:rsidR="00EE0C59" w:rsidRPr="0020459C" w:rsidRDefault="00EE0C59" w:rsidP="00EE0C59">
      <w:pPr>
        <w:pStyle w:val="a3"/>
        <w:jc w:val="both"/>
      </w:pPr>
      <w:r w:rsidRPr="0020459C">
        <w:t xml:space="preserve">     Решением о бюджете с учетом изменений прогнозируемый дефицит бюджета муниципального образования был утвержден в сумме 14000,0 тыс. рублей. В соответствии с отчетом об исполнении бюджета за 9 месяцев бюджет исполнен с превышением расходов над доходами в сумме 11984,1тыс.рублей.</w:t>
      </w:r>
    </w:p>
    <w:p w:rsidR="0002241C" w:rsidRPr="0020459C" w:rsidRDefault="0002241C" w:rsidP="0002241C">
      <w:pPr>
        <w:pStyle w:val="a3"/>
        <w:jc w:val="both"/>
      </w:pPr>
      <w:r w:rsidRPr="0020459C">
        <w:t xml:space="preserve">      Расходование средств резервного фонда Администрации Родинского района, в соответствии с Положением о порядке использования бюджетных ассигнований резервного фонда Администрации Родинского района, утвержденным Постановлением Администрации Родинского района от 24.03.2021 № 77, за 9 месяцев 2023 года не производилось. </w:t>
      </w:r>
    </w:p>
    <w:p w:rsidR="0002241C" w:rsidRPr="0020459C" w:rsidRDefault="0002241C" w:rsidP="0002241C">
      <w:pPr>
        <w:pStyle w:val="a3"/>
        <w:jc w:val="both"/>
      </w:pPr>
      <w:r w:rsidRPr="0020459C">
        <w:t xml:space="preserve">      Бюджетные ассигнования, запланированные на реализацию девятнадцати Муниципальных  программ на 2023 год, с учетом уточнений плана составили 6471,5 тыс. руб. и за 9 месяцев  2023 года профинансированы в сумме 5060,3 тыс.рублей или на 78,2 %. </w:t>
      </w:r>
    </w:p>
    <w:p w:rsidR="0002241C" w:rsidRPr="0020459C" w:rsidRDefault="0002241C" w:rsidP="0002241C">
      <w:pPr>
        <w:jc w:val="both"/>
        <w:rPr>
          <w:sz w:val="28"/>
          <w:szCs w:val="28"/>
        </w:rPr>
      </w:pPr>
      <w:r w:rsidRPr="0020459C">
        <w:rPr>
          <w:sz w:val="28"/>
          <w:szCs w:val="28"/>
        </w:rPr>
        <w:t xml:space="preserve">      Формирование и использование средств муниципального дорожного фонда осуществлялось в соответствии с Положением о муниципальном дорожном фонде муниципального образования Родинский район Алтайского края, утвержденным решением Родинского районного Совета депутатов от 24.12.2013 № 64. Исполнение за 9 месяцев 2023 года составило 5433,3 тыс. руб. </w:t>
      </w:r>
    </w:p>
    <w:p w:rsidR="0020459C" w:rsidRDefault="0002241C" w:rsidP="009B43C3">
      <w:pPr>
        <w:jc w:val="both"/>
        <w:rPr>
          <w:sz w:val="28"/>
          <w:szCs w:val="28"/>
        </w:rPr>
      </w:pPr>
      <w:r w:rsidRPr="0020459C">
        <w:t xml:space="preserve">      </w:t>
      </w:r>
      <w:r w:rsidRPr="0020459C">
        <w:rPr>
          <w:sz w:val="28"/>
          <w:szCs w:val="28"/>
        </w:rPr>
        <w:t>Средства дорожного фонда направлены на содержание и ремонт автомобильных дорог в виде межбюджетных трансфертов бюджетам сельских поселений.</w:t>
      </w:r>
      <w:r w:rsidR="009B43C3" w:rsidRPr="0020459C">
        <w:rPr>
          <w:sz w:val="28"/>
          <w:szCs w:val="28"/>
        </w:rPr>
        <w:t xml:space="preserve"> За период с января 2023 года по октябрь 2023 года включительно  бюджетам сельсоветов выделены дотации на выравнивание бюджетной обеспеченности в сумме 3655,1 тыс.рублей, в том числе за счет субсидий из краевого бюджета 1406,4 тыс.рублей и за счет средств районного бюджета 2248,7 тыс.рублей. </w:t>
      </w:r>
    </w:p>
    <w:p w:rsidR="0020459C" w:rsidRDefault="009B43C3" w:rsidP="009B43C3">
      <w:pPr>
        <w:jc w:val="both"/>
        <w:rPr>
          <w:sz w:val="28"/>
          <w:szCs w:val="28"/>
        </w:rPr>
      </w:pPr>
      <w:r w:rsidRPr="0020459C">
        <w:rPr>
          <w:sz w:val="28"/>
          <w:szCs w:val="28"/>
        </w:rPr>
        <w:t xml:space="preserve">       Межбюджетный трансферты бюджетам поселений  за 9 месяцев выделены в следующих объемах; Субвенции на осуществление полномочий по воинскому учету 1361,0 тыс.рублей.</w:t>
      </w:r>
    </w:p>
    <w:p w:rsidR="002F58EE" w:rsidRDefault="002F58EE" w:rsidP="009B43C3">
      <w:pPr>
        <w:jc w:val="both"/>
        <w:rPr>
          <w:sz w:val="28"/>
          <w:szCs w:val="28"/>
        </w:rPr>
      </w:pPr>
      <w:r>
        <w:rPr>
          <w:sz w:val="28"/>
          <w:szCs w:val="28"/>
        </w:rPr>
        <w:t xml:space="preserve">     </w:t>
      </w:r>
      <w:r w:rsidR="009B43C3" w:rsidRPr="0020459C">
        <w:rPr>
          <w:sz w:val="28"/>
          <w:szCs w:val="28"/>
        </w:rPr>
        <w:t xml:space="preserve"> Межбюджетные трансферты на осуществление части</w:t>
      </w:r>
      <w:r w:rsidR="009B43C3" w:rsidRPr="0020459C">
        <w:t xml:space="preserve"> </w:t>
      </w:r>
      <w:r w:rsidR="009B43C3" w:rsidRPr="0020459C">
        <w:rPr>
          <w:sz w:val="28"/>
          <w:szCs w:val="28"/>
        </w:rPr>
        <w:t>полномочий по решению вопросов местного значения в соответствии с заключенными соглашениями  7968,22 тыс. рублей,</w:t>
      </w:r>
      <w:r w:rsidR="009B43C3" w:rsidRPr="0020459C">
        <w:t xml:space="preserve"> </w:t>
      </w:r>
      <w:r w:rsidR="009B43C3" w:rsidRPr="0020459C">
        <w:rPr>
          <w:sz w:val="28"/>
          <w:szCs w:val="28"/>
        </w:rPr>
        <w:t xml:space="preserve">в том числе; Осуществление дорожной деятельности в отношении автомобильных дорог местного значения 5433,3 тыс. рублей, Организация электро , тепло, газо и водоснабжения населения; утверждение правил землепользования и застройки 16,52 тыс. рублей, Организация строительства и содержания муниципального жилищного фонда 63,6 тыс. рублей, Организация ритуальных услуг и содержание мест захоронения 391,2 тыс. рублей, Организация деятельности по сбору (в том числе раздельному сбору) и транспортированию твердых коммунальных </w:t>
      </w:r>
      <w:r w:rsidR="009B43C3" w:rsidRPr="0020459C">
        <w:rPr>
          <w:sz w:val="28"/>
          <w:szCs w:val="28"/>
        </w:rPr>
        <w:lastRenderedPageBreak/>
        <w:t xml:space="preserve">отходов 1501,6 тыс. рублей, Организация транспортного обслуживания населения в границах поселения 12,0 тыс. рублей.  </w:t>
      </w:r>
    </w:p>
    <w:p w:rsidR="009B43C3" w:rsidRPr="0020459C" w:rsidRDefault="009B43C3" w:rsidP="009B43C3">
      <w:pPr>
        <w:jc w:val="both"/>
      </w:pPr>
      <w:r w:rsidRPr="0020459C">
        <w:rPr>
          <w:sz w:val="28"/>
          <w:szCs w:val="28"/>
        </w:rPr>
        <w:t xml:space="preserve">     Иные межбюджетные трансферты на поддержание мер по обеспечению платежеспособности местных бюджетов 31188,2 тыс. рублей, иные межбюджетные трансферты на реализацию инициативных проектов развития (создания) общественной инфраструктуры муниципальных образований 19019,3 тыс. рублей, Иные межбюджетные трансферты на обеспечение комплексного развития сельских территорий (мероприятия по благоустройству сельских территорий) 2780,55 тыс. рублей.</w:t>
      </w:r>
      <w:r w:rsidRPr="0020459C">
        <w:t xml:space="preserve"> </w:t>
      </w:r>
      <w:r w:rsidRPr="0020459C">
        <w:rPr>
          <w:sz w:val="28"/>
          <w:szCs w:val="28"/>
        </w:rPr>
        <w:t>Иные межбюджетные трансферты в рамках муниципальной программы «Предупреждение чрезвычайных ситуаций природного и техногенного характера, обеспечение пожарной безопасности и безопасности людей на водных объектах» 60,0 тыс. рублей, Иные межбюджетные трансферты на поддержку мероприятий, направленных на обеспечение стабильного водоснабжения 2283,7 тыс. рублей, Иные межбюджетные трансферты предоставленные в целях соблюдения предельных (максимальных) индексов изменения размера вносимой гражданами платы за коммунальные услуги 35,78 тыс. рублей.</w:t>
      </w:r>
      <w:r w:rsidRPr="0020459C">
        <w:t xml:space="preserve">                                                                                                                                                                                                                                                                                                                                                                                                                                                                                                                                                                                                                                                                                                                                                                                                                                                                                     </w:t>
      </w:r>
    </w:p>
    <w:p w:rsidR="009B43C3" w:rsidRPr="0020459C" w:rsidRDefault="009B43C3" w:rsidP="009B43C3">
      <w:pPr>
        <w:pStyle w:val="a3"/>
        <w:jc w:val="both"/>
      </w:pPr>
      <w:r w:rsidRPr="0020459C">
        <w:t xml:space="preserve">     Расходы районного бюджета на капитальные вложения за 9 месяцев 2023 года осуществлены на сумму 259543,5 тыс.рублей.        </w:t>
      </w:r>
    </w:p>
    <w:p w:rsidR="009B43C3" w:rsidRPr="007500BF" w:rsidRDefault="009B43C3" w:rsidP="009B43C3">
      <w:pPr>
        <w:pStyle w:val="a3"/>
        <w:jc w:val="both"/>
      </w:pPr>
      <w:r w:rsidRPr="0020459C">
        <w:t xml:space="preserve">     Муниципальный долг района по состоянию на 01.10.2023 года составляет 1811,0 тыс. .рублей, ( бюджетный кредит). Дата договора 12.01.2015 года, № 1/37/2015-Н, дата погашения 20.04.2025 года.</w:t>
      </w:r>
    </w:p>
    <w:p w:rsidR="0002241C" w:rsidRPr="007500BF" w:rsidRDefault="0002241C" w:rsidP="0002241C">
      <w:pPr>
        <w:pStyle w:val="a3"/>
        <w:jc w:val="both"/>
      </w:pPr>
    </w:p>
    <w:p w:rsidR="0002241C" w:rsidRPr="007500BF" w:rsidRDefault="0002241C" w:rsidP="0002241C">
      <w:pPr>
        <w:pStyle w:val="a3"/>
        <w:jc w:val="both"/>
        <w:rPr>
          <w:b/>
        </w:rPr>
      </w:pPr>
    </w:p>
    <w:p w:rsidR="00E86CBA" w:rsidRPr="0075581C" w:rsidRDefault="00D63AC1" w:rsidP="0002241C">
      <w:pPr>
        <w:pStyle w:val="a3"/>
        <w:jc w:val="both"/>
      </w:pPr>
      <w:r w:rsidRPr="0075581C">
        <w:t xml:space="preserve">       </w:t>
      </w:r>
    </w:p>
    <w:p w:rsidR="00E86CBA" w:rsidRPr="0075581C" w:rsidRDefault="00E86CBA" w:rsidP="009B43C3">
      <w:pPr>
        <w:pStyle w:val="a3"/>
        <w:jc w:val="both"/>
      </w:pPr>
      <w:r w:rsidRPr="0075581C">
        <w:t xml:space="preserve">     </w:t>
      </w:r>
    </w:p>
    <w:p w:rsidR="007C005C" w:rsidRPr="0075581C" w:rsidRDefault="007C005C" w:rsidP="007C005C">
      <w:pPr>
        <w:rPr>
          <w:sz w:val="23"/>
          <w:szCs w:val="23"/>
        </w:rPr>
      </w:pPr>
    </w:p>
    <w:p w:rsidR="007C005C" w:rsidRPr="0075581C" w:rsidRDefault="007C005C" w:rsidP="007C005C">
      <w:pPr>
        <w:rPr>
          <w:sz w:val="23"/>
          <w:szCs w:val="23"/>
        </w:rPr>
      </w:pPr>
    </w:p>
    <w:p w:rsidR="007C005C" w:rsidRPr="0075581C" w:rsidRDefault="007C005C" w:rsidP="007C005C">
      <w:pPr>
        <w:rPr>
          <w:sz w:val="23"/>
          <w:szCs w:val="23"/>
        </w:rPr>
      </w:pPr>
    </w:p>
    <w:p w:rsidR="007C005C" w:rsidRPr="0075581C" w:rsidRDefault="007C005C" w:rsidP="007C005C">
      <w:pPr>
        <w:pStyle w:val="a3"/>
      </w:pPr>
      <w:r w:rsidRPr="0075581C">
        <w:t>Председатель</w:t>
      </w:r>
    </w:p>
    <w:p w:rsidR="002706F9" w:rsidRPr="007C005C" w:rsidRDefault="007C005C" w:rsidP="007C005C">
      <w:pPr>
        <w:rPr>
          <w:sz w:val="28"/>
          <w:szCs w:val="28"/>
        </w:rPr>
      </w:pPr>
      <w:r w:rsidRPr="0075581C">
        <w:rPr>
          <w:sz w:val="28"/>
          <w:szCs w:val="28"/>
        </w:rPr>
        <w:t>Контрольно-счетной палаты</w:t>
      </w:r>
      <w:r w:rsidRPr="0075581C">
        <w:rPr>
          <w:sz w:val="28"/>
          <w:szCs w:val="28"/>
        </w:rPr>
        <w:tab/>
      </w:r>
      <w:r w:rsidRPr="0075581C">
        <w:rPr>
          <w:sz w:val="28"/>
          <w:szCs w:val="28"/>
        </w:rPr>
        <w:tab/>
      </w:r>
      <w:r w:rsidRPr="0075581C">
        <w:rPr>
          <w:sz w:val="28"/>
          <w:szCs w:val="28"/>
        </w:rPr>
        <w:tab/>
      </w:r>
      <w:r w:rsidRPr="0075581C">
        <w:rPr>
          <w:sz w:val="28"/>
          <w:szCs w:val="28"/>
        </w:rPr>
        <w:tab/>
      </w:r>
      <w:r w:rsidRPr="0075581C">
        <w:rPr>
          <w:sz w:val="28"/>
          <w:szCs w:val="28"/>
        </w:rPr>
        <w:tab/>
      </w:r>
      <w:r w:rsidRPr="0075581C">
        <w:rPr>
          <w:sz w:val="28"/>
          <w:szCs w:val="28"/>
        </w:rPr>
        <w:tab/>
        <w:t>Н.Г.Домолазова</w:t>
      </w:r>
    </w:p>
    <w:sectPr w:rsidR="002706F9" w:rsidRPr="007C005C" w:rsidSect="00B17288">
      <w:footerReference w:type="default" r:id="rId6"/>
      <w:pgSz w:w="11906" w:h="16838"/>
      <w:pgMar w:top="567"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738" w:rsidRDefault="00E03738" w:rsidP="00872461">
      <w:r>
        <w:separator/>
      </w:r>
    </w:p>
  </w:endnote>
  <w:endnote w:type="continuationSeparator" w:id="1">
    <w:p w:rsidR="00E03738" w:rsidRDefault="00E03738" w:rsidP="008724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66212"/>
      <w:docPartObj>
        <w:docPartGallery w:val="Page Numbers (Bottom of Page)"/>
        <w:docPartUnique/>
      </w:docPartObj>
    </w:sdtPr>
    <w:sdtContent>
      <w:p w:rsidR="00872461" w:rsidRDefault="00872461">
        <w:pPr>
          <w:pStyle w:val="a6"/>
          <w:jc w:val="center"/>
        </w:pPr>
        <w:fldSimple w:instr=" PAGE   \* MERGEFORMAT ">
          <w:r>
            <w:rPr>
              <w:noProof/>
            </w:rPr>
            <w:t>5</w:t>
          </w:r>
        </w:fldSimple>
      </w:p>
    </w:sdtContent>
  </w:sdt>
  <w:p w:rsidR="00872461" w:rsidRDefault="008724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738" w:rsidRDefault="00E03738" w:rsidP="00872461">
      <w:r>
        <w:separator/>
      </w:r>
    </w:p>
  </w:footnote>
  <w:footnote w:type="continuationSeparator" w:id="1">
    <w:p w:rsidR="00E03738" w:rsidRDefault="00E03738" w:rsidP="008724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B0A79"/>
    <w:rsid w:val="0002241C"/>
    <w:rsid w:val="000306E4"/>
    <w:rsid w:val="000306F4"/>
    <w:rsid w:val="000B3CCE"/>
    <w:rsid w:val="000F63CA"/>
    <w:rsid w:val="00137601"/>
    <w:rsid w:val="00156215"/>
    <w:rsid w:val="00161D77"/>
    <w:rsid w:val="00182AAF"/>
    <w:rsid w:val="001B0A79"/>
    <w:rsid w:val="001D24AA"/>
    <w:rsid w:val="0020459C"/>
    <w:rsid w:val="002257EB"/>
    <w:rsid w:val="00236186"/>
    <w:rsid w:val="002706F9"/>
    <w:rsid w:val="00292787"/>
    <w:rsid w:val="002B5D18"/>
    <w:rsid w:val="002F58EE"/>
    <w:rsid w:val="003141BC"/>
    <w:rsid w:val="003342B9"/>
    <w:rsid w:val="003377D7"/>
    <w:rsid w:val="0039309D"/>
    <w:rsid w:val="003A6FC7"/>
    <w:rsid w:val="00425954"/>
    <w:rsid w:val="004E4E9A"/>
    <w:rsid w:val="005A059B"/>
    <w:rsid w:val="005B0A77"/>
    <w:rsid w:val="005B60AE"/>
    <w:rsid w:val="0061580F"/>
    <w:rsid w:val="00695DE9"/>
    <w:rsid w:val="00696DE6"/>
    <w:rsid w:val="006D459C"/>
    <w:rsid w:val="00707852"/>
    <w:rsid w:val="007541B0"/>
    <w:rsid w:val="0075581C"/>
    <w:rsid w:val="007647CA"/>
    <w:rsid w:val="007A6384"/>
    <w:rsid w:val="007C005C"/>
    <w:rsid w:val="0083764B"/>
    <w:rsid w:val="00872461"/>
    <w:rsid w:val="00886C71"/>
    <w:rsid w:val="008E02F1"/>
    <w:rsid w:val="008E3831"/>
    <w:rsid w:val="009B43C3"/>
    <w:rsid w:val="009D4F06"/>
    <w:rsid w:val="00A87052"/>
    <w:rsid w:val="00A8723A"/>
    <w:rsid w:val="00AC201A"/>
    <w:rsid w:val="00B17288"/>
    <w:rsid w:val="00B40341"/>
    <w:rsid w:val="00B933B3"/>
    <w:rsid w:val="00B966D5"/>
    <w:rsid w:val="00BA4C67"/>
    <w:rsid w:val="00BE49AA"/>
    <w:rsid w:val="00C00B28"/>
    <w:rsid w:val="00C47639"/>
    <w:rsid w:val="00C65DE4"/>
    <w:rsid w:val="00CA20C9"/>
    <w:rsid w:val="00CE1023"/>
    <w:rsid w:val="00CE5418"/>
    <w:rsid w:val="00CE670E"/>
    <w:rsid w:val="00D07C09"/>
    <w:rsid w:val="00D118BA"/>
    <w:rsid w:val="00D32797"/>
    <w:rsid w:val="00D47E9A"/>
    <w:rsid w:val="00D57991"/>
    <w:rsid w:val="00D63AC1"/>
    <w:rsid w:val="00D806E0"/>
    <w:rsid w:val="00D84795"/>
    <w:rsid w:val="00DA150D"/>
    <w:rsid w:val="00DC067F"/>
    <w:rsid w:val="00DC2347"/>
    <w:rsid w:val="00DD19E6"/>
    <w:rsid w:val="00E03738"/>
    <w:rsid w:val="00E3227B"/>
    <w:rsid w:val="00E75B11"/>
    <w:rsid w:val="00E76F3B"/>
    <w:rsid w:val="00E86CBA"/>
    <w:rsid w:val="00EA7EF2"/>
    <w:rsid w:val="00EE0C59"/>
    <w:rsid w:val="00F26AD0"/>
    <w:rsid w:val="00FD4222"/>
    <w:rsid w:val="00FE5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C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2F58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F58E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005C"/>
    <w:pPr>
      <w:spacing w:after="0" w:line="240" w:lineRule="auto"/>
    </w:pPr>
    <w:rPr>
      <w:rFonts w:ascii="Times New Roman" w:eastAsia="Times New Roman" w:hAnsi="Times New Roman" w:cs="Times New Roman"/>
      <w:sz w:val="28"/>
      <w:szCs w:val="28"/>
    </w:rPr>
  </w:style>
  <w:style w:type="paragraph" w:customStyle="1" w:styleId="31">
    <w:name w:val="Абзац списка3"/>
    <w:basedOn w:val="a"/>
    <w:rsid w:val="00CA20C9"/>
    <w:pPr>
      <w:spacing w:after="200" w:line="276" w:lineRule="auto"/>
      <w:ind w:left="720"/>
    </w:pPr>
    <w:rPr>
      <w:rFonts w:ascii="Calibri" w:hAnsi="Calibri" w:cs="Calibri"/>
      <w:sz w:val="22"/>
      <w:szCs w:val="22"/>
    </w:rPr>
  </w:style>
  <w:style w:type="character" w:customStyle="1" w:styleId="20">
    <w:name w:val="Заголовок 2 Знак"/>
    <w:basedOn w:val="a0"/>
    <w:link w:val="2"/>
    <w:uiPriority w:val="9"/>
    <w:rsid w:val="002F58E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F58EE"/>
    <w:rPr>
      <w:rFonts w:asciiTheme="majorHAnsi" w:eastAsiaTheme="majorEastAsia" w:hAnsiTheme="majorHAnsi" w:cstheme="majorBidi"/>
      <w:b/>
      <w:bCs/>
      <w:color w:val="4F81BD" w:themeColor="accent1"/>
      <w:sz w:val="20"/>
      <w:szCs w:val="20"/>
      <w:lang w:eastAsia="ru-RU"/>
    </w:rPr>
  </w:style>
  <w:style w:type="paragraph" w:styleId="a4">
    <w:name w:val="header"/>
    <w:basedOn w:val="a"/>
    <w:link w:val="a5"/>
    <w:uiPriority w:val="99"/>
    <w:semiHidden/>
    <w:unhideWhenUsed/>
    <w:rsid w:val="00872461"/>
    <w:pPr>
      <w:tabs>
        <w:tab w:val="center" w:pos="4677"/>
        <w:tab w:val="right" w:pos="9355"/>
      </w:tabs>
    </w:pPr>
  </w:style>
  <w:style w:type="character" w:customStyle="1" w:styleId="a5">
    <w:name w:val="Верхний колонтитул Знак"/>
    <w:basedOn w:val="a0"/>
    <w:link w:val="a4"/>
    <w:uiPriority w:val="99"/>
    <w:semiHidden/>
    <w:rsid w:val="0087246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872461"/>
    <w:pPr>
      <w:tabs>
        <w:tab w:val="center" w:pos="4677"/>
        <w:tab w:val="right" w:pos="9355"/>
      </w:tabs>
    </w:pPr>
  </w:style>
  <w:style w:type="character" w:customStyle="1" w:styleId="a7">
    <w:name w:val="Нижний колонтитул Знак"/>
    <w:basedOn w:val="a0"/>
    <w:link w:val="a6"/>
    <w:uiPriority w:val="99"/>
    <w:rsid w:val="0087246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C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88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Pages>
  <Words>1999</Words>
  <Characters>11397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Spalata Leuta</cp:lastModifiedBy>
  <cp:revision>44</cp:revision>
  <cp:lastPrinted>2021-11-10T08:07:00Z</cp:lastPrinted>
  <dcterms:created xsi:type="dcterms:W3CDTF">2020-08-05T04:04:00Z</dcterms:created>
  <dcterms:modified xsi:type="dcterms:W3CDTF">2023-10-25T08:21:00Z</dcterms:modified>
</cp:coreProperties>
</file>